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kern w:val="0"/>
          <w:sz w:val="44"/>
          <w:szCs w:val="44"/>
          <w:lang w:val="en-US" w:eastAsia="zh-CN" w:bidi="ar"/>
        </w:rPr>
      </w:pPr>
      <w:r>
        <w:rPr>
          <w:rFonts w:hint="eastAsia" w:ascii="宋体" w:hAnsi="宋体" w:eastAsia="宋体" w:cs="宋体"/>
          <w:kern w:val="0"/>
          <w:sz w:val="44"/>
          <w:szCs w:val="44"/>
          <w:lang w:val="en-US" w:eastAsia="zh-CN" w:bidi="ar"/>
        </w:rPr>
        <w:t>XX</w:t>
      </w:r>
      <w:r>
        <w:rPr>
          <w:rFonts w:hint="eastAsia" w:ascii="宋体" w:hAnsi="宋体" w:eastAsia="宋体" w:cs="宋体"/>
          <w:kern w:val="0"/>
          <w:sz w:val="44"/>
          <w:szCs w:val="44"/>
          <w:lang w:val="en-US" w:eastAsia="zh-CN" w:bidi="ar"/>
        </w:rPr>
        <w:t>项目部</w:t>
      </w:r>
      <w:r>
        <w:rPr>
          <w:rFonts w:hint="eastAsia" w:ascii="宋体" w:hAnsi="宋体" w:eastAsia="宋体" w:cs="宋体"/>
          <w:kern w:val="0"/>
          <w:sz w:val="44"/>
          <w:szCs w:val="44"/>
          <w:lang w:val="en-US" w:eastAsia="zh-CN" w:bidi="ar"/>
        </w:rPr>
        <w:br w:type="textWrapping"/>
      </w:r>
      <w:r>
        <w:rPr>
          <w:rFonts w:hint="eastAsia" w:ascii="宋体" w:hAnsi="宋体" w:eastAsia="宋体" w:cs="宋体"/>
          <w:kern w:val="0"/>
          <w:sz w:val="44"/>
          <w:szCs w:val="44"/>
          <w:lang w:val="en-US" w:eastAsia="zh-CN" w:bidi="ar"/>
        </w:rPr>
        <w:t>农民工工资支付应急</w:t>
      </w:r>
      <w:r>
        <w:rPr>
          <w:rFonts w:hint="eastAsia" w:ascii="宋体" w:hAnsi="宋体" w:eastAsia="宋体" w:cs="宋体"/>
          <w:kern w:val="0"/>
          <w:sz w:val="44"/>
          <w:szCs w:val="44"/>
          <w:lang w:val="en-US" w:eastAsia="zh-CN" w:bidi="ar"/>
        </w:rPr>
        <w:t>预案</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hint="eastAsia"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目  录</w:t>
      </w:r>
    </w:p>
    <w:p>
      <w:pPr>
        <w:keepNext w:val="0"/>
        <w:keepLines w:val="0"/>
        <w:widowControl/>
        <w:suppressLineNumbers w:val="0"/>
        <w:jc w:val="both"/>
        <w:rPr>
          <w:rFonts w:hint="eastAsia" w:ascii="宋体" w:hAnsi="宋体" w:eastAsia="宋体" w:cs="宋体"/>
          <w:sz w:val="32"/>
          <w:szCs w:val="32"/>
        </w:rPr>
      </w:pPr>
      <w:r>
        <w:rPr>
          <w:rFonts w:hint="eastAsia" w:ascii="宋体" w:hAnsi="宋体" w:eastAsia="宋体" w:cs="宋体"/>
          <w:kern w:val="0"/>
          <w:sz w:val="32"/>
          <w:szCs w:val="32"/>
          <w:lang w:val="en-US" w:eastAsia="zh-CN" w:bidi="ar"/>
        </w:rPr>
        <w:t>一、工作原则</w:t>
      </w:r>
      <w:r>
        <w:rPr>
          <w:rFonts w:hint="eastAsia"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二、适用范围</w:t>
      </w:r>
      <w:r>
        <w:rPr>
          <w:rFonts w:hint="eastAsia"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三、组织体系及相关机构职责</w:t>
      </w:r>
      <w:r>
        <w:rPr>
          <w:rFonts w:hint="eastAsia"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四、应急响应和处置程序</w:t>
      </w:r>
      <w:r>
        <w:rPr>
          <w:rFonts w:hint="eastAsia" w:ascii="宋体" w:hAnsi="宋体" w:eastAsia="宋体" w:cs="宋体"/>
          <w:kern w:val="0"/>
          <w:sz w:val="32"/>
          <w:szCs w:val="32"/>
          <w:lang w:val="en-US" w:eastAsia="zh-CN" w:bidi="ar"/>
        </w:rPr>
        <w:br w:type="textWrapping"/>
      </w:r>
      <w:r>
        <w:rPr>
          <w:rFonts w:hint="eastAsia" w:ascii="宋体" w:hAnsi="宋体" w:eastAsia="宋体" w:cs="宋体"/>
          <w:kern w:val="0"/>
          <w:sz w:val="32"/>
          <w:szCs w:val="32"/>
          <w:lang w:val="en-US" w:eastAsia="zh-CN" w:bidi="ar"/>
        </w:rPr>
        <w:t>五、后期处置</w:t>
      </w:r>
    </w:p>
    <w:p>
      <w:pPr>
        <w:keepNext w:val="0"/>
        <w:keepLines w:val="0"/>
        <w:widowControl/>
        <w:suppressLineNumbers w:val="0"/>
        <w:jc w:val="center"/>
        <w:rPr>
          <w:rFonts w:hint="eastAsia" w:ascii="宋体" w:hAnsi="宋体" w:eastAsia="宋体" w:cs="宋体"/>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安庆市XX</w:t>
      </w:r>
      <w:r>
        <w:rPr>
          <w:rFonts w:ascii="宋体" w:hAnsi="宋体" w:eastAsia="宋体" w:cs="宋体"/>
          <w:kern w:val="0"/>
          <w:sz w:val="32"/>
          <w:szCs w:val="32"/>
          <w:lang w:val="en-US" w:eastAsia="zh-CN" w:bidi="ar"/>
        </w:rPr>
        <w:t>项目部</w:t>
      </w:r>
      <w:r>
        <w:rPr>
          <w:rFonts w:ascii="宋体" w:hAnsi="宋体" w:eastAsia="宋体" w:cs="宋体"/>
          <w:kern w:val="0"/>
          <w:sz w:val="32"/>
          <w:szCs w:val="32"/>
          <w:lang w:val="en-US" w:eastAsia="zh-CN" w:bidi="ar"/>
        </w:rPr>
        <w:br w:type="textWrapping"/>
      </w:r>
      <w:r>
        <w:rPr>
          <w:rFonts w:ascii="宋体" w:hAnsi="宋体" w:eastAsia="宋体" w:cs="宋体"/>
          <w:kern w:val="0"/>
          <w:sz w:val="32"/>
          <w:szCs w:val="32"/>
          <w:lang w:val="en-US" w:eastAsia="zh-CN" w:bidi="ar"/>
        </w:rPr>
        <w:t>农民工工资支付应急预案</w:t>
      </w:r>
      <w:r>
        <w:rPr>
          <w:rFonts w:ascii="宋体" w:hAnsi="宋体" w:eastAsia="宋体" w:cs="宋体"/>
          <w:kern w:val="0"/>
          <w:sz w:val="32"/>
          <w:szCs w:val="32"/>
          <w:lang w:val="en-US" w:eastAsia="zh-CN" w:bidi="ar"/>
        </w:rPr>
        <w:br w:type="textWrapping"/>
      </w:r>
    </w:p>
    <w:p>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为积极稳妥地处理好因拖欠克扣农民工工 资引发的突发事件，切实维护农民工和用人单位的合法权益，维护社会稳定，促进经济发展，根据《中华人民共和国劳动法》及有关法律法规，结合我项目部实际，制定本预案。</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一、工作原则</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坚持以项目部为主，实行项目经理负责制。坚持预防为主，预防结合，在项目经理领导下，各有关部门“快速反应、赶赴现场，协调配合、控制局面、安善处理”，做到早发现、早报告、早控制、早解决，防止矛盾微化和事态扩大，尽快恢复生产、生活和社会秩序，减少或避免经济损失和不良影响，确保社会稳定。</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二、适用范围</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本预案适用安庆市XX 项目，项目区域内因用人单位拖欠克扣农民工工资引发的突发事件的应急响应，包括: </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leftChars="200" w:right="0" w:rightChars="0" w:firstLine="320" w:firstLineChars="1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1.罢工、停工、息工事件；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2.围堵项目部办公室、场区交通要道事件；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3.群殴、致人重伤或死亡事件；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4.自杀、自残等恶性事件；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5.造成农民工生活困难、危及人民生命财产安全、影响社会稳定的事件；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6.其他因拖欠克扣农民工工资引发的突发事件等。</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80" w:lineRule="exact"/>
        <w:ind w:leftChars="0"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组织体系及相关机构职责</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项目部成立解决拖欠克扣农民工工资突发事件应急处理工作协调领导小组(以下简称“领导小组”)。领导小组组长由项目经理担任，成员由生产部门、安全部门、财务部门、劳务部门等协调处理拖欠克扣农民工工资突发事件。</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组织机构详见下图:</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项目负责人:  </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技术部</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工程部</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合约财务</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安全部</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劳务部</w:t>
      </w:r>
      <w:r>
        <w:rPr>
          <w:rFonts w:hint="eastAsia" w:ascii="仿宋" w:hAnsi="仿宋" w:eastAsia="仿宋" w:cs="仿宋"/>
          <w:kern w:val="0"/>
          <w:sz w:val="32"/>
          <w:szCs w:val="32"/>
          <w:lang w:val="en-US" w:eastAsia="zh-CN" w:bidi="ar"/>
        </w:rPr>
        <w:br w:type="textWrapping"/>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安庆市XX项目农民工工资支付应急小组成员:</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组长:  </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副组长:  </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组员:  </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领导小组工作职责: 全面负责拖欠克扣农民工工资突发事件的应急处置工作。</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拖欠克扣农民工工资突发事件发生后，在领导小组的统一指挥下，根据情况，生产部门、安全部门、财务部门、劳务部门等应同时到场组成现场处理小组进行应急处理。</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生产部门: 协助做好现场劳资双方当事人的调解工作，积极引导农民工通过协商、投诉、诉讼等正常渠道维护自己的合法权益。负责召集用人单位相关负责人到场，协助调查核实，责成支付农民工工资。协助项目经理对突发事件处置和恢复生产秩序。</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财务部门: 负责调查核实欠薪事实及数额，责令欠薪单位立即支付。协助做好拖欠克扣农民工工资突发事件的农民工工资核实工作，责令用工单位立即支付农民工工资。</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安全部门: 畅通职工诉求表达渠道，及时了解并报告用人单位欠薪情况。负责维持现场秩序，预防、制止违法犯罪行为必要时拨打110。</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劳务部门: 负责宣传、教育并引导农民工按照国家法律法规，依法维护自身的合法权益。</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四、应急响应和处置程序</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（一）信息报告: 发生拖欠克扣农民工工资突发事件后，应当在20 分钟内上报领导小组，重特大事件应在10分钟内报告总公司领导，报告内容为:</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1.突发事件发生的基本情况，包括时间、地点、规模、涉及人员、破坏程度以及伤亡等情况。</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2.突发事件发生的起因分析、性质判断和影响程度预测。</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3.突发事件发生的用人单位和有关部门已做好工作和采取的措施及处理情况。</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4.其他已掌握的情况。</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left="19" w:leftChars="9" w:right="0" w:rightChars="0" w:firstLine="617" w:firstLineChars="193"/>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lang w:val="en-US" w:eastAsia="zh-CN" w:bidi="ar"/>
        </w:rPr>
        <w:t>（二）启动预案: 拖欠克扣农民工工资突发事件发生后，领导小组根据实际情况，由领导小组下令启动应急预案。</w:t>
      </w:r>
    </w:p>
    <w:p>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（三）应急处置: 各部门在接到预案启动指令的20分钟内，根据案情投入应急处理工作。各部门在接到通知后，应快速赶赴现场，在领导的统一指挥下，了解情况，进行初步分析研究，按各自职责果断处置。</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如案情扩大或可能会造成重大社会影响的，可请求总公司领导小组给予指导和帮助。</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1.处理突发事件时要注意运用国家法律、法规、政策，认真听取群众诉求，稳定群众的情绪，避免矛盾的进一步激化: 要通过开展耐心细致的宣传解释和思想政治工作，控制事态发展，动员、疏导农民工返回岗位，尽快恢复生产、生活。</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2.现场协商和调解不成的，各部门应在摸清情况的基础上提出切实可行的处理意见。对严重侵犯农民工合法权益的用人单位，责令改正。必须通过仲裁和司法程序的，要引导当事人通过劳动争议仲裁或向人民法院提起诉讼，按照有关法律、法规及时处理。</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3.当出现暴力破坏活动苗头时，必要时拨打110请公安部门依法采取防范措施，防止事态进一步扩大和恶化。对无理取闹、违反治安处罚法的人员，依法处理。</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4.必要时，应启动欠薪保障应急资金和欠薪垫付特别程序，公司设置</w:t>
      </w:r>
      <w:bookmarkStart w:id="0" w:name="_GoBack"/>
      <w:bookmarkEnd w:id="0"/>
      <w:r>
        <w:rPr>
          <w:rFonts w:hint="eastAsia" w:ascii="仿宋" w:hAnsi="仿宋" w:eastAsia="仿宋" w:cs="仿宋"/>
          <w:kern w:val="0"/>
          <w:sz w:val="32"/>
          <w:szCs w:val="32"/>
          <w:lang w:val="en-US" w:eastAsia="zh-CN" w:bidi="ar"/>
        </w:rPr>
        <w:t>一个农民工工资专用账户，用于欠薪突发事件应急处理。在农民工生活确实困难或用人单位确无财产可供执行等紧急情况下，先行垫付已查实的所欠农民工工资或生活费，及时平息事态，解决农民工生活困难。财务部门要对欠薪保障应急资金给予保障。</w:t>
      </w:r>
    </w:p>
    <w:p>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lang w:val="en-US" w:eastAsia="zh-CN" w:bidi="ar"/>
        </w:rPr>
        <w:t>五、后期处置</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拖欠克扣农民工工资突发事件发生后，领导小组应做好预案的后期组织、协调、监督，有关部门应督促、帮助用人单位尽快恢复生产序，完善劳动用工管理，及时向公司领导报告后期处置工作进展情况。将发生拖欠克扣农民工资突发事件的用人单位列入诚信系统黑名单。</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拖欠克扣农民工工资突发事件结束后，领导小组要组织相关人员对事件进行分析，评估事件后果，总结经验教训，进一步巩固成果，防止事件反弹，并对事件处理情况进行上报。</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项目领导小组要在事件结束后的10个工作日内向公司领导提交处置报告。内容包括: 发生突发事件单位的基本情况、导致突发事件的原因、事态发展趋势、处理经过、处理结果、进度、形象影响评估等。</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在预防和处置拖欠克扣农民工工资突发事件中，部门及工作人员有下列情形之一的，应当严肃追究有关领导和相关人员的责任:</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1.对本工程区和所属单位开展拖欠克扣农民工工资预警预报工作不重视，不负责，情况不明，措施不力，造成劳动纠纷不断，拖欠克扣农民工工资突发事件多发，社会影响恶劣的:</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2.对农民工反映的可能引发灾发事件的问题不关心，或处理不当导致问题趋向激化；多次发生，长期得不到解决，致使问题和矛盾越来越多，事件苗头发现不及时，发生突发事件等现象的;</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对拖欠克扣农民工工资情况发生后，缓报、谎报、瞒报或未采取积极有效措施进行调查处理，或在调查处理工作中推诿扯皮、处置不力，以致延误时机，造成不良影响和后果的。</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各部门之间应建立应急联系工作机制，保障信息畅通，做到信息共享; 按照各自职责管理和实施。并对本预案的贯彻执行情况进行检查，以提高应急处理能力。</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应急电话为: </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xml:space="preserve"> </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40" w:firstLineChars="200"/>
        <w:jc w:val="left"/>
        <w:textAlignment w:val="auto"/>
        <w:outlineLvl w:val="9"/>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                                 XX公司XX项目部</w:t>
      </w:r>
    </w:p>
    <w:p>
      <w:pPr>
        <w:keepNext w:val="0"/>
        <w:keepLines w:val="0"/>
        <w:pageBreakBefore w:val="0"/>
        <w:widowControl/>
        <w:numPr>
          <w:numId w:val="0"/>
        </w:numPr>
        <w:suppressLineNumbers w:val="0"/>
        <w:kinsoku/>
        <w:wordWrap/>
        <w:overflowPunct/>
        <w:topLinePunct w:val="0"/>
        <w:autoSpaceDE/>
        <w:autoSpaceDN/>
        <w:bidi w:val="0"/>
        <w:adjustRightInd/>
        <w:snapToGrid/>
        <w:spacing w:line="480" w:lineRule="exact"/>
        <w:ind w:right="0" w:rightChars="0" w:firstLine="6080" w:firstLineChars="1900"/>
        <w:jc w:val="left"/>
        <w:textAlignment w:val="auto"/>
        <w:outlineLvl w:val="9"/>
        <w:rPr>
          <w:rFonts w:hint="eastAsia" w:ascii="仿宋" w:hAnsi="仿宋" w:eastAsia="仿宋" w:cs="仿宋"/>
          <w:sz w:val="32"/>
          <w:szCs w:val="32"/>
        </w:rPr>
      </w:pPr>
      <w:r>
        <w:rPr>
          <w:rFonts w:hint="eastAsia" w:ascii="仿宋" w:hAnsi="仿宋" w:eastAsia="仿宋" w:cs="仿宋"/>
          <w:kern w:val="0"/>
          <w:sz w:val="32"/>
          <w:szCs w:val="32"/>
          <w:lang w:val="en-US" w:eastAsia="zh-CN" w:bidi="ar"/>
        </w:rPr>
        <w:t>2018 年1月5 日</w:t>
      </w:r>
    </w:p>
    <w:p>
      <w:pPr>
        <w:keepNext w:val="0"/>
        <w:keepLines w:val="0"/>
        <w:pageBreakBefore w:val="0"/>
        <w:widowControl/>
        <w:suppressLineNumbers w:val="0"/>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 w:hAnsi="仿宋" w:eastAsia="仿宋" w:cs="仿宋"/>
          <w:kern w:val="0"/>
          <w:sz w:val="32"/>
          <w:szCs w:val="32"/>
          <w:lang w:val="en-US" w:eastAsia="zh-CN" w:bidi="ar"/>
        </w:rPr>
      </w:pPr>
    </w:p>
    <w:p>
      <w:pPr>
        <w:keepNext w:val="0"/>
        <w:keepLines w:val="0"/>
        <w:pageBreakBefore w:val="0"/>
        <w:kinsoku/>
        <w:wordWrap/>
        <w:overflowPunct/>
        <w:topLinePunct w:val="0"/>
        <w:autoSpaceDE/>
        <w:autoSpaceDN/>
        <w:bidi w:val="0"/>
        <w:adjustRightInd/>
        <w:snapToGrid/>
        <w:spacing w:line="480" w:lineRule="exact"/>
        <w:ind w:left="0" w:leftChars="0" w:right="0" w:rightChars="0" w:firstLine="0" w:firstLineChars="0"/>
        <w:jc w:val="left"/>
        <w:textAlignment w:val="auto"/>
        <w:outlineLvl w:val="9"/>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713CD"/>
    <w:multiLevelType w:val="singleLevel"/>
    <w:tmpl w:val="5A7713CD"/>
    <w:lvl w:ilvl="0" w:tentative="0">
      <w:start w:val="3"/>
      <w:numFmt w:val="chineseCounting"/>
      <w:suff w:val="nothing"/>
      <w:lvlText w:val="%1、"/>
      <w:lvlJc w:val="left"/>
    </w:lvl>
  </w:abstractNum>
  <w:abstractNum w:abstractNumId="1">
    <w:nsid w:val="5A7716E3"/>
    <w:multiLevelType w:val="singleLevel"/>
    <w:tmpl w:val="5A7716E3"/>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996639"/>
    <w:rsid w:val="4EB85626"/>
    <w:rsid w:val="70996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2018-02-04T07:28:00Z</dcterms:created>
  <dc:creator>Administrator</dc:creator>
  <cp:lastModifiedBy>Administrator</cp:lastModifiedBy>
  <dcterms:modified xsi:type="dcterms:W3CDTF">2018-02-04T14:22:17Z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