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3080" w:firstLineChars="70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44"/>
          <w:szCs w:val="44"/>
          <w:lang w:val="en-US" w:eastAsia="zh-CN" w:bidi="ar"/>
        </w:rPr>
        <w:t>迎检准备材料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、工资发放表（要点：时间跨度为2017年1月至12月，做到按月足额发放、在工地醒目处张贴公示、确保农民工签字的真实性（应本人签字、不得代签、统签）、提供电话号码备查、注意安排工人现场谈话、维持现场秩序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劳动合同签订率（要点：与职工花名册和身份证一一对应，做到100%签订率、劳动合同确保农民工本人签字的真实性（应本人签字、不得代签、统签）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、明确工资标准）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3、实名制管理（要点：职工花名册、劳动合同、考勤表、工资发放表完备，并做到一一对应）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br w:type="textWrapping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4、监督工资发放具体措施（要点：①总包单位监督分包单位工资发放的措施；②发生欠薪总包单位先行垫付具体办法和流程；③因违法分包、转包、发包造成后果的责任制度）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5、分包单位委托总包单位支付工资的委托函（要点：①业主单位和总包单位签订的工程承包合同；②总包单位和分包单位签订的分包合同；③委托函；④工资发放表公示，其中发放表必须由总包单位负责人签名并加盖公章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br w:type="textWrapping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6、监控预警应急预案（要点：总包单位发文，明确维权机构、人员、欠薪应急准备金）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br w:type="textWrapping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7、农民工工资保证金的缴纳凭证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br w:type="textWrapping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8、总包企业或承包企业开设农民工工资专用账户的凭证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br w:type="textWrapping"/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9、维权信息告示牌（要点：①各级维权人员电话要真实、保证畅通；②悬挂在工地醒目处）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10、工地概况汇报（项目经理准备口头汇报，要提到人社部门和行业主管部门的日常监管，工资发放模式要注意强调打卡发放）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7F9B"/>
    <w:multiLevelType w:val="singleLevel"/>
    <w:tmpl w:val="5AA87F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510AC"/>
    <w:rsid w:val="0ADD253C"/>
    <w:rsid w:val="29F510AC"/>
    <w:rsid w:val="480E117F"/>
    <w:rsid w:val="680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2018-03-14T01:35:00Z</dcterms:created>
  <dc:creator>丫丫751059</dc:creator>
  <cp:lastModifiedBy>Administrator</cp:lastModifiedBy>
  <cp:lastPrinted>2018-03-14T01:54:00Z</cp:lastPrinted>
  <dcterms:modified xsi:type="dcterms:W3CDTF">2018-03-16T02:48:07Z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